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rId2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6)</w:t>
      </w:r>
    </w:p>
    <w:p>
      <w:pPr>
        <w:pStyle w:val="Centralizadoenegrito"/>
      </w:pPr>
      <w:r>
        <w:rPr>
          <w:i/>
          <w:iCs/>
        </w:rPr>
        <w:t xml:space="preserve">Análises com base nos dados inseridos no SINAN ONLINE até o dia 07/02/2025.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6),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Item 1</w:t>
      </w:r>
      <w:r>
        <w:br/>
      </w:r>
    </w:p>
    <w:p>
      <w:pPr>
        <w:pStyle w:val="Compact"/>
        <w:numPr>
          <w:ilvl w:val="0"/>
          <w:numId w:val="1001"/>
        </w:numPr>
      </w:pPr>
      <w:r>
        <w:t xml:space="preserve">Item 2</w:t>
      </w:r>
      <w:r>
        <w:br/>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426.471</w:t>
      </w:r>
      <w:r>
        <w:t xml:space="preserve"> </w:t>
      </w:r>
      <w:r>
        <w:t xml:space="preserve">casos suspeitos de dengue e chikungunya, o que corresponde a uma incidência acumulada de</w:t>
      </w:r>
      <w:r>
        <w:t xml:space="preserve"> </w:t>
      </w:r>
      <w:r>
        <w:rPr>
          <w:b/>
          <w:bCs/>
        </w:rPr>
        <w:t xml:space="preserve">194</w:t>
      </w:r>
      <w:r>
        <w:t xml:space="preserve"> </w:t>
      </w:r>
      <w:r>
        <w:t xml:space="preserve">casos de dengue e</w:t>
      </w:r>
      <w:r>
        <w:t xml:space="preserve"> </w:t>
      </w:r>
      <w:r>
        <w:rPr>
          <w:b/>
          <w:bCs/>
        </w:rPr>
        <w:t xml:space="preserve">12</w:t>
      </w:r>
      <w:r>
        <w:t xml:space="preserve"> </w:t>
      </w:r>
      <w:r>
        <w:t xml:space="preserve">casos de chikungunya por 100 mil habitantes.</w:t>
      </w:r>
    </w:p>
    <w:p>
      <w:pPr>
        <w:pStyle w:val="Normal"/>
      </w:pPr>
      <w:r>
        <w:t xml:space="preserve">Para dengue, esse valor corresponde a</w:t>
      </w:r>
      <w:r>
        <w:t xml:space="preserve"> </w:t>
      </w:r>
      <w:r>
        <w:rPr>
          <w:b/>
          <w:bCs/>
        </w:rPr>
        <w:t xml:space="preserve">0,38</w:t>
      </w:r>
      <w:r>
        <w:t xml:space="preserve"> </w:t>
      </w:r>
      <w:r>
        <w:t xml:space="preserve">vezes o registrado no ano passado, enquanto para chikungunya, a</w:t>
      </w:r>
      <w:r>
        <w:t xml:space="preserve"> </w:t>
      </w:r>
      <w:r>
        <w:rPr>
          <w:b/>
          <w:bCs/>
        </w:rPr>
        <w:t xml:space="preserve">0,34</w:t>
      </w:r>
      <w:r>
        <w:t xml:space="preserve">.</w:t>
      </w:r>
    </w:p>
    <w:p>
      <w:pPr>
        <w:pStyle w:val="Normal"/>
      </w:pPr>
      <w:r>
        <w:t xml:space="preserve">Do total de casos notificados,</w:t>
      </w:r>
      <w:r>
        <w:t xml:space="preserve"> </w:t>
      </w:r>
      <w:r>
        <w:rPr>
          <w:b/>
          <w:bCs/>
        </w:rPr>
        <w:t xml:space="preserve">279.147</w:t>
      </w:r>
      <w:r>
        <w:t xml:space="preserve"> </w:t>
      </w:r>
      <w:r>
        <w:t xml:space="preserve">foram classificados como prováveis até o momento. Isso é,</w:t>
      </w:r>
      <w:r>
        <w:t xml:space="preserve"> </w:t>
      </w:r>
      <w:r>
        <w:rPr>
          <w:b/>
          <w:bCs/>
        </w:rPr>
        <w:t xml:space="preserve">34,54%</w:t>
      </w:r>
      <w:r>
        <w:t xml:space="preserve"> </w:t>
      </w:r>
      <w:r>
        <w:t xml:space="preserve">foi descartado.</w:t>
      </w:r>
    </w:p>
    <w:p>
      <w:pPr>
        <w:pStyle w:val="Normal"/>
      </w:pPr>
      <w:r>
        <w:rPr>
          <w:b/>
          <w:bCs/>
        </w:rPr>
        <w:t xml:space="preserve">Tabela 1.</w:t>
      </w:r>
      <w:r>
        <w:t xml:space="preserve"> </w:t>
      </w:r>
      <w:r>
        <w:t xml:space="preserve">Casos notificados de arboviroses até a semana 6</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64.72%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34.08%</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402,318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38.33%</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426,471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38.07%</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6,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Informe_Infodengue_SE202506_files/figure-docx/unnamed-chunk-7-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6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Informe_Infodengue_SE202506_files/figure-docx/unnamed-chunk-8-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06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Informe_Infodengue_SE202506_files/figure-docx/unnamed-chunk-9-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6.</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Informe_Infodengue_SE202506_files/figure-docx/unnamed-chunk-10-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06.</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6.</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Informe_Infodengue_SE202506_files/figure-docx/unnamed-chunk-13-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6.</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Informe_Infodengue_SE202506_files/figure-docx/unnamed-chunk-15-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6.</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5,32</w:t>
            </w:r>
          </w:p>
        </w:tc>
        <w:tc>
          <w:tcPr>
            <w:tcBorders>
              <w:bottom w:val="none" w:sz="0" w:space="0" w:color="000000"/>
              <w:top w:val="single" w:sz="8" w:space="0" w:color="666666"/>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6,74</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7,18</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6,74</w:t>
            </w:r>
          </w:p>
        </w:tc>
        <w:tc>
          <w:tcPr>
            <w:tcBorders>
              <w:bottom w:val="none" w:sz="0" w:space="0" w:color="000000"/>
              <w:top w:val="single" w:sz="8" w:space="0" w:color="666666"/>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6,19</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164,74</w:t>
            </w:r>
          </w:p>
        </w:tc>
        <w:tc>
          <w:tcPr>
            <w:tcBorders>
              <w:bottom w:val="none" w:sz="0" w:space="0" w:color="000000"/>
              <w:top w:val="none" w:sz="0" w:space="0" w:color="000000"/>
              <w:left w:val="none" w:sz="0" w:space="0" w:color="000000"/>
              <w:right w:val="none" w:sz="0" w:space="0" w:color="000000"/>
            </w:tcBorders>
            <w:shd w:val="clear" w:color="auto" w:fill="FFC6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152,09</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113,77</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23,62</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203,67</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242,90</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413,42</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835,76</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13,55</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14,27</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15,28</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24,49</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33,33</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23,64</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23,64</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21,52</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29,03</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35,25</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39,04</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2,79</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2,86</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4,86</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6,14</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9,45</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11,85</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6,31</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3,66</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11,65</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14,41</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40,25</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43,94</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32,32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49,27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60,84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66,52</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82,13</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122,41</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69,89</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44,35</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17,08</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123,32</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71,42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48,17</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38,45</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19,60</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9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98,57</w:t>
            </w:r>
          </w:p>
        </w:tc>
        <w:tc>
          <w:tcPr>
            <w:tcBorders>
              <w:bottom w:val="none" w:sz="0" w:space="0" w:color="000000"/>
              <w:top w:val="none" w:sz="0" w:space="0" w:color="000000"/>
              <w:left w:val="none" w:sz="0" w:space="0" w:color="000000"/>
              <w:right w:val="none" w:sz="0" w:space="0" w:color="000000"/>
            </w:tcBorders>
            <w:shd w:val="clear" w:color="auto" w:fill="FFD2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106,93</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97,20</w:t>
            </w:r>
          </w:p>
        </w:tc>
        <w:tc>
          <w:tcPr>
            <w:tcBorders>
              <w:bottom w:val="none" w:sz="0" w:space="0" w:color="000000"/>
              <w:top w:val="none" w:sz="0" w:space="0" w:color="000000"/>
              <w:left w:val="none" w:sz="0" w:space="0" w:color="000000"/>
              <w:right w:val="none" w:sz="0" w:space="0" w:color="000000"/>
            </w:tcBorders>
            <w:shd w:val="clear" w:color="auto" w:fill="EB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111,40</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136,01</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166,49</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212,13</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40,13</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44,43</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43,30</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43,17</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50,36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56,83</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63,06</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32,31</w:t>
            </w:r>
          </w:p>
        </w:tc>
        <w:tc>
          <w:tcPr>
            <w:tcBorders>
              <w:bottom w:val="none" w:sz="0" w:space="0" w:color="000000"/>
              <w:top w:val="none" w:sz="0" w:space="0" w:color="000000"/>
              <w:left w:val="none" w:sz="0" w:space="0" w:color="000000"/>
              <w:right w:val="none" w:sz="0" w:space="0" w:color="000000"/>
            </w:tcBorders>
            <w:shd w:val="clear" w:color="auto" w:fill="E8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32,79</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29,85</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36,32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37,19</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35,04</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7,53</w:t>
            </w:r>
          </w:p>
        </w:tc>
        <w:tc>
          <w:tcPr>
            <w:tcBorders>
              <w:bottom w:val="none" w:sz="0" w:space="0" w:color="000000"/>
              <w:top w:val="none" w:sz="0" w:space="0" w:color="000000"/>
              <w:left w:val="none" w:sz="0" w:space="0" w:color="000000"/>
              <w:right w:val="single" w:sz="8" w:space="0" w:color="666666"/>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9,29</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26,08</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29,54</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22,80</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39,98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45,13</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57,52</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CE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80,04</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80,60</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59,01</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92,17</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107,93</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121,48</w:t>
            </w:r>
          </w:p>
        </w:tc>
        <w:tc>
          <w:tcPr>
            <w:tcBorders>
              <w:bottom w:val="none" w:sz="0" w:space="0" w:color="000000"/>
              <w:top w:val="none" w:sz="0" w:space="0" w:color="000000"/>
              <w:left w:val="none" w:sz="0" w:space="0" w:color="000000"/>
              <w:right w:val="single" w:sz="8" w:space="0" w:color="666666"/>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153,66</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45,02</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55,45</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50,30</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54,89</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74,64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88,82</w:t>
            </w:r>
          </w:p>
        </w:tc>
        <w:tc>
          <w:tcPr>
            <w:tcBorders>
              <w:bottom w:val="none" w:sz="0" w:space="0" w:color="000000"/>
              <w:top w:val="none" w:sz="0" w:space="0" w:color="000000"/>
              <w:left w:val="none" w:sz="0" w:space="0" w:color="000000"/>
              <w:right w:val="single" w:sz="8" w:space="0" w:color="666666"/>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95,58</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22,88</w:t>
            </w:r>
          </w:p>
        </w:tc>
        <w:tc>
          <w:tcPr>
            <w:tcBorders>
              <w:bottom w:val="single" w:sz="8" w:space="0" w:color="666666"/>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25,01</w:t>
            </w:r>
          </w:p>
        </w:tc>
        <w:tc>
          <w:tcPr>
            <w:tcBorders>
              <w:bottom w:val="single" w:sz="8" w:space="0" w:color="666666"/>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22,47</w:t>
            </w:r>
          </w:p>
        </w:tc>
        <w:tc>
          <w:tcPr>
            <w:tcBorders>
              <w:bottom w:val="single" w:sz="8" w:space="0" w:color="666666"/>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10,40</w:t>
            </w:r>
          </w:p>
        </w:tc>
        <w:tc>
          <w:tcPr>
            <w:tcBorders>
              <w:bottom w:val="single" w:sz="8" w:space="0" w:color="666666"/>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25,11</w:t>
            </w:r>
          </w:p>
        </w:tc>
        <w:tc>
          <w:tcPr>
            <w:tcBorders>
              <w:bottom w:val="single" w:sz="8" w:space="0" w:color="666666"/>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28,60</w:t>
            </w:r>
          </w:p>
        </w:tc>
        <w:tc>
          <w:tcPr>
            <w:tcBorders>
              <w:bottom w:val="single" w:sz="8" w:space="0" w:color="666666"/>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29,04</w:t>
            </w:r>
          </w:p>
        </w:tc>
        <w:tc>
          <w:tcPr>
            <w:tcBorders>
              <w:bottom w:val="single" w:sz="8" w:space="0" w:color="666666"/>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29,95</w:t>
            </w:r>
          </w:p>
        </w:tc>
      </w:tr>
    </w:tbl>
    <w:p>
      <w:pPr>
        <w:pStyle w:val="Normal"/>
      </w:pPr>
      <w:r>
        <w:t xml:space="preserve">De acordo com a figura 7, do total de 450 regionais, 182 estão com alta incidência e continuam subindo, 0 estão com alta, porém estável, 0 estão com alta, mas em queda e 254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Informe_Infodengue_SE202506_files/figure-docx/unnamed-chunk-20-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06.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w:t>
            </w:r>
          </w:p>
        </w:tc>
        <w:tc>
          <w:tcPr>
            <w:tcBorders>
              <w:bottom w:val="none" w:sz="0" w:space="0" w:color="000000"/>
              <w:top w:val="single" w:sz="8" w:space="0" w:color="666666"/>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5,66</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12,01</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26,67</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5,68</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7,52</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2,67</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3,63</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19,16</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17,57</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25,27</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38,39</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54,15</w:t>
            </w:r>
          </w:p>
        </w:tc>
        <w:tc>
          <w:tcPr>
            <w:tcBorders>
              <w:bottom w:val="none" w:sz="0" w:space="0" w:color="000000"/>
              <w:top w:val="none" w:sz="0" w:space="0" w:color="000000"/>
              <w:left w:val="none" w:sz="0" w:space="0" w:color="000000"/>
              <w:right w:val="single" w:sz="8" w:space="0" w:color="666666"/>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87,69</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57,18</w:t>
            </w:r>
          </w:p>
        </w:tc>
        <w:tc>
          <w:tcPr>
            <w:tcBorders>
              <w:bottom w:val="none" w:sz="0" w:space="0" w:color="000000"/>
              <w:top w:val="none" w:sz="0" w:space="0" w:color="000000"/>
              <w:left w:val="none" w:sz="0" w:space="0" w:color="000000"/>
              <w:right w:val="none" w:sz="0" w:space="0" w:color="000000"/>
            </w:tcBorders>
            <w:shd w:val="clear" w:color="auto" w:fill="FFC3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57,29</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35,96</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9,46</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97,93</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144,24</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225,00</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373,10</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r>
    </w:tbl>
    <w:p>
      <w:pPr>
        <w:pStyle w:val="Normal"/>
      </w:pPr>
      <w:r>
        <w:t xml:space="preserve">Conforme a figura 8, do total de 450 regionais, 19 estão com alta incidência e continuam subindo, 0 estão com alta, porém estável, 29 estão com alta, mas em queda e 407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Informe_Infodengue_SE202506_files/figure-docx/unnamed-chunk-24-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Informe_Infodengue_SE202506_files/figure-docx/unnamed-chunk-25-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6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Informe_Infodengue_SE202506_files/figure-docx/unnamed-chunk-26-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Informe_Infodengue_SE202506_files/figure-docx/unnamed-chunk-27-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943600" cy="2442279"/>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943600" cy="2442279"/>
                    </a:xfrm>
                    <a:prstGeom prst="rect">
                      <a:avLst/>
                    </a:prstGeom>
                    <a:noFill/>
                    <a:ln w="9525">
                      <a:noFill/>
                      <a:headEnd/>
                      <a:tailEnd/>
                    </a:ln>
                  </pic:spPr>
                </pic:pic>
              </a:graphicData>
            </a:graphic>
          </wp:inline>
        </w:drawing>
      </w:r>
      <w:r>
        <w:drawing>
          <wp:inline>
            <wp:extent cx="5943600" cy="2403674"/>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423187"/>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62426"/>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943600" cy="2462426"/>
                    </a:xfrm>
                    <a:prstGeom prst="rect">
                      <a:avLst/>
                    </a:prstGeom>
                    <a:noFill/>
                    <a:ln w="9525">
                      <a:noFill/>
                      <a:headEnd/>
                      <a:tailEnd/>
                    </a:ln>
                  </pic:spPr>
                </pic:pic>
              </a:graphicData>
            </a:graphic>
          </wp:inline>
        </w:drawing>
      </w:r>
      <w:r>
        <w:drawing>
          <wp:inline>
            <wp:extent cx="5943600" cy="2403674"/>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423187"/>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943600" cy="2423187"/>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943600" cy="2423187"/>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23187"/>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42279"/>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943600" cy="2442279"/>
                    </a:xfrm>
                    <a:prstGeom prst="rect">
                      <a:avLst/>
                    </a:prstGeom>
                    <a:noFill/>
                    <a:ln w="9525">
                      <a:noFill/>
                      <a:headEnd/>
                      <a:tailEnd/>
                    </a:ln>
                  </pic:spPr>
                </pic:pic>
              </a:graphicData>
            </a:graphic>
          </wp:inline>
        </w:drawing>
      </w:r>
      <w:r>
        <w:drawing>
          <wp:inline>
            <wp:extent cx="5943600" cy="2403674"/>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943600" cy="2403674"/>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943600" cy="238517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943600" cy="2385179"/>
                    </a:xfrm>
                    <a:prstGeom prst="rect">
                      <a:avLst/>
                    </a:prstGeom>
                    <a:noFill/>
                    <a:ln w="9525">
                      <a:noFill/>
                      <a:headEnd/>
                      <a:tailEnd/>
                    </a:ln>
                  </pic:spPr>
                </pic:pic>
              </a:graphicData>
            </a:graphic>
          </wp:inline>
        </w:drawing>
      </w:r>
      <w:r>
        <w:drawing>
          <wp:inline>
            <wp:extent cx="5943600" cy="2403674"/>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38517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943600" cy="238517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943600" cy="2403674"/>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403674"/>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403674"/>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943600" cy="2403674"/>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943600" cy="2423187"/>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943600" cy="2423187"/>
                    </a:xfrm>
                    <a:prstGeom prst="rect">
                      <a:avLst/>
                    </a:prstGeom>
                    <a:noFill/>
                    <a:ln w="9525">
                      <a:noFill/>
                      <a:headEnd/>
                      <a:tailEnd/>
                    </a:ln>
                  </pic:spPr>
                </pic:pic>
              </a:graphicData>
            </a:graphic>
          </wp:inline>
        </w:drawing>
      </w:r>
      <w:r>
        <w:drawing>
          <wp:inline>
            <wp:extent cx="5943600" cy="2403674"/>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943600" cy="2403674"/>
                    </a:xfrm>
                    <a:prstGeom prst="rect">
                      <a:avLst/>
                    </a:prstGeom>
                    <a:noFill/>
                    <a:ln w="9525">
                      <a:noFill/>
                      <a:headEnd/>
                      <a:tailEnd/>
                    </a:ln>
                  </pic:spPr>
                </pic:pic>
              </a:graphicData>
            </a:graphic>
          </wp:inline>
        </w:drawing>
      </w:r>
      <w:r>
        <w:drawing>
          <wp:inline>
            <wp:extent cx="5943600" cy="2385179"/>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943600" cy="2385179"/>
                    </a:xfrm>
                    <a:prstGeom prst="rect">
                      <a:avLst/>
                    </a:prstGeom>
                    <a:noFill/>
                    <a:ln w="9525">
                      <a:noFill/>
                      <a:headEnd/>
                      <a:tailEnd/>
                    </a:ln>
                  </pic:spPr>
                </pic:pic>
              </a:graphicData>
            </a:graphic>
          </wp:inline>
        </w:drawing>
      </w:r>
      <w:r>
        <w:drawing>
          <wp:inline>
            <wp:extent cx="5943600" cy="2403674"/>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943600" cy="2403674"/>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58"/>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SERTAO 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AGRESTE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 (VITORIA CONQUISTA)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 - ( JUAZEIRO)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EXTREMO SUL (TEIXEIRA FREITAS)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CENTRO-LESTE (FEIRA SANTANA)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36"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JEQUITINHONHA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ACO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body92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14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JOAO PESSOA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 (VITORIA CONQUISTA)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 (ALAGOINHAS)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36"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JEQUITINHONHA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2025-02-18T16:12:33Z</dcterms:created>
  <dcterms:modified xsi:type="dcterms:W3CDTF">2025-02-18T16:12:33Z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